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042FF" w14:textId="18D690A3" w:rsidR="00817C21" w:rsidRPr="006B212E" w:rsidRDefault="00817C21" w:rsidP="00817C21">
      <w:pPr>
        <w:jc w:val="center"/>
        <w:rPr>
          <w:sz w:val="28"/>
          <w:szCs w:val="28"/>
        </w:rPr>
      </w:pPr>
      <w:r w:rsidRPr="00D92819">
        <w:rPr>
          <w:b/>
          <w:bCs/>
          <w:sz w:val="28"/>
          <w:szCs w:val="28"/>
        </w:rPr>
        <w:t xml:space="preserve">Casework </w:t>
      </w:r>
      <w:r>
        <w:rPr>
          <w:b/>
          <w:bCs/>
          <w:sz w:val="28"/>
          <w:szCs w:val="28"/>
        </w:rPr>
        <w:t>Employment</w:t>
      </w:r>
      <w:r w:rsidRPr="00D92819">
        <w:rPr>
          <w:b/>
          <w:bCs/>
          <w:sz w:val="28"/>
          <w:szCs w:val="28"/>
        </w:rPr>
        <w:t xml:space="preserve"> Examples</w:t>
      </w:r>
    </w:p>
    <w:p w14:paraId="40B6FD24" w14:textId="4707E918" w:rsidR="00817C21" w:rsidRPr="001020E4" w:rsidRDefault="00817C21" w:rsidP="00817C21">
      <w:pPr>
        <w:spacing w:after="0" w:line="240" w:lineRule="auto"/>
        <w:jc w:val="both"/>
        <w:rPr>
          <w:sz w:val="24"/>
          <w:szCs w:val="24"/>
        </w:rPr>
      </w:pPr>
      <w:r w:rsidRPr="00254593">
        <w:rPr>
          <w:sz w:val="24"/>
          <w:szCs w:val="24"/>
        </w:rPr>
        <w:t>This form should be read in conjunction with the AQS v</w:t>
      </w:r>
      <w:r w:rsidR="00D003AE">
        <w:rPr>
          <w:sz w:val="24"/>
          <w:szCs w:val="24"/>
        </w:rPr>
        <w:t>4</w:t>
      </w:r>
      <w:r w:rsidRPr="00254593">
        <w:rPr>
          <w:sz w:val="24"/>
          <w:szCs w:val="24"/>
        </w:rPr>
        <w:t xml:space="preserve"> </w:t>
      </w:r>
      <w:r w:rsidR="00D003AE">
        <w:rPr>
          <w:sz w:val="24"/>
          <w:szCs w:val="24"/>
        </w:rPr>
        <w:t xml:space="preserve">Advice with </w:t>
      </w:r>
      <w:r w:rsidRPr="00254593">
        <w:rPr>
          <w:sz w:val="24"/>
          <w:szCs w:val="24"/>
        </w:rPr>
        <w:t xml:space="preserve">Casework </w:t>
      </w:r>
      <w:proofErr w:type="spellStart"/>
      <w:r w:rsidRPr="00254593">
        <w:rPr>
          <w:sz w:val="24"/>
          <w:szCs w:val="24"/>
        </w:rPr>
        <w:t>Self Assessment</w:t>
      </w:r>
      <w:proofErr w:type="spellEnd"/>
      <w:r w:rsidRPr="00254593">
        <w:rPr>
          <w:sz w:val="24"/>
          <w:szCs w:val="24"/>
        </w:rPr>
        <w:t xml:space="preserve"> Declaration Form and has been put in place to help you select the type of cases you </w:t>
      </w:r>
      <w:r>
        <w:rPr>
          <w:sz w:val="24"/>
          <w:szCs w:val="24"/>
        </w:rPr>
        <w:t>list for your assessor to review during the assessment</w:t>
      </w:r>
      <w:r w:rsidRPr="00217CA8">
        <w:rPr>
          <w:sz w:val="24"/>
          <w:szCs w:val="24"/>
        </w:rPr>
        <w:t xml:space="preserve">.  The examples below are to help you demonstrate the breadth of casework your advice service delivers and </w:t>
      </w:r>
      <w:r w:rsidRPr="00217CA8">
        <w:rPr>
          <w:rFonts w:cstheme="minorHAnsi"/>
          <w:sz w:val="24"/>
          <w:szCs w:val="24"/>
        </w:rPr>
        <w:t>enable your assessor to confirm both the depth and breadth of casework provided.</w:t>
      </w:r>
    </w:p>
    <w:p w14:paraId="5AE8F97C" w14:textId="49BD621D" w:rsidR="00170312" w:rsidRDefault="00170312"/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817C21" w:rsidRPr="00680BCD" w14:paraId="5732D9B6" w14:textId="77777777" w:rsidTr="00817C21">
        <w:tc>
          <w:tcPr>
            <w:tcW w:w="9067" w:type="dxa"/>
            <w:shd w:val="clear" w:color="auto" w:fill="FFC000"/>
          </w:tcPr>
          <w:p w14:paraId="55C08ECB" w14:textId="7426E47A" w:rsidR="00817C21" w:rsidRPr="00817C21" w:rsidRDefault="00817C21" w:rsidP="00F05F9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Casework </w:t>
            </w:r>
            <w:r w:rsidRPr="00817C21">
              <w:rPr>
                <w:b/>
                <w:bCs/>
                <w:sz w:val="24"/>
                <w:szCs w:val="24"/>
              </w:rPr>
              <w:t>Employment</w:t>
            </w:r>
            <w:r>
              <w:rPr>
                <w:b/>
                <w:bCs/>
                <w:sz w:val="24"/>
                <w:szCs w:val="24"/>
              </w:rPr>
              <w:t xml:space="preserve"> Examples</w:t>
            </w:r>
          </w:p>
        </w:tc>
      </w:tr>
      <w:tr w:rsidR="00817C21" w:rsidRPr="006326E3" w14:paraId="58A22898" w14:textId="77777777" w:rsidTr="00817C21">
        <w:tc>
          <w:tcPr>
            <w:tcW w:w="9067" w:type="dxa"/>
          </w:tcPr>
          <w:p w14:paraId="54D709DC" w14:textId="73B99375" w:rsidR="00817C21" w:rsidRPr="00817C21" w:rsidRDefault="00817C21" w:rsidP="00817C2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4"/>
                <w:szCs w:val="24"/>
              </w:rPr>
            </w:pPr>
            <w:r w:rsidRPr="00817C21">
              <w:rPr>
                <w:rFonts w:ascii="Calibri" w:hAnsi="Calibri" w:cs="Calibri"/>
                <w:sz w:val="24"/>
                <w:szCs w:val="24"/>
              </w:rPr>
              <w:t>Wrongful dismissal</w:t>
            </w:r>
          </w:p>
        </w:tc>
      </w:tr>
      <w:tr w:rsidR="00817C21" w:rsidRPr="006326E3" w14:paraId="67D9D4F4" w14:textId="77777777" w:rsidTr="00817C21">
        <w:tc>
          <w:tcPr>
            <w:tcW w:w="9067" w:type="dxa"/>
          </w:tcPr>
          <w:p w14:paraId="5FFC29BB" w14:textId="77777777" w:rsidR="00817C21" w:rsidRPr="00817C21" w:rsidRDefault="00817C21" w:rsidP="00817C21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sz w:val="24"/>
                <w:szCs w:val="24"/>
              </w:rPr>
            </w:pPr>
            <w:r w:rsidRPr="00817C21">
              <w:rPr>
                <w:rFonts w:ascii="Calibri" w:hAnsi="Calibri" w:cs="Calibri"/>
                <w:sz w:val="24"/>
                <w:szCs w:val="24"/>
              </w:rPr>
              <w:t>Unfair Dismissal; conduct, ill health unfair redundancy, capability, other</w:t>
            </w:r>
          </w:p>
        </w:tc>
      </w:tr>
      <w:tr w:rsidR="00817C21" w:rsidRPr="006326E3" w14:paraId="5F3992B7" w14:textId="77777777" w:rsidTr="00817C21">
        <w:tc>
          <w:tcPr>
            <w:tcW w:w="9067" w:type="dxa"/>
          </w:tcPr>
          <w:p w14:paraId="2ACB95AB" w14:textId="315AEA8A" w:rsidR="00817C21" w:rsidRPr="00817C21" w:rsidRDefault="00817C21" w:rsidP="00817C21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  <w:sz w:val="24"/>
                <w:szCs w:val="24"/>
              </w:rPr>
            </w:pPr>
            <w:r w:rsidRPr="00817C21">
              <w:rPr>
                <w:rFonts w:ascii="Calibri" w:hAnsi="Calibri" w:cs="Calibri"/>
                <w:sz w:val="24"/>
                <w:szCs w:val="24"/>
              </w:rPr>
              <w:t>Constructive unfair dismissal</w:t>
            </w:r>
          </w:p>
        </w:tc>
      </w:tr>
      <w:tr w:rsidR="00817C21" w:rsidRPr="006326E3" w14:paraId="2ABF560D" w14:textId="77777777" w:rsidTr="00817C21">
        <w:tc>
          <w:tcPr>
            <w:tcW w:w="9067" w:type="dxa"/>
          </w:tcPr>
          <w:p w14:paraId="3EBE6F44" w14:textId="77777777" w:rsidR="00817C21" w:rsidRPr="00817C21" w:rsidRDefault="00817C21" w:rsidP="00817C21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  <w:sz w:val="24"/>
                <w:szCs w:val="24"/>
              </w:rPr>
            </w:pPr>
            <w:r w:rsidRPr="00817C21">
              <w:rPr>
                <w:rFonts w:ascii="Calibri" w:hAnsi="Calibri" w:cs="Calibri"/>
                <w:sz w:val="24"/>
                <w:szCs w:val="24"/>
              </w:rPr>
              <w:t>Redundancy (fair)</w:t>
            </w:r>
          </w:p>
        </w:tc>
      </w:tr>
      <w:tr w:rsidR="00817C21" w:rsidRPr="006326E3" w14:paraId="1C5840F2" w14:textId="77777777" w:rsidTr="00817C21">
        <w:tc>
          <w:tcPr>
            <w:tcW w:w="9067" w:type="dxa"/>
          </w:tcPr>
          <w:p w14:paraId="0954FC1B" w14:textId="77777777" w:rsidR="00817C21" w:rsidRPr="00817C21" w:rsidRDefault="00817C21" w:rsidP="00817C21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  <w:sz w:val="24"/>
                <w:szCs w:val="24"/>
              </w:rPr>
            </w:pPr>
            <w:r w:rsidRPr="00817C21">
              <w:rPr>
                <w:rFonts w:ascii="Calibri" w:hAnsi="Calibri" w:cs="Calibri"/>
                <w:sz w:val="24"/>
                <w:szCs w:val="24"/>
              </w:rPr>
              <w:t>Discrimination; race, sex, disability, equal pay, gender reassignment marriage and civil partnership, sexual orientation, religion, or belief. other</w:t>
            </w:r>
          </w:p>
        </w:tc>
      </w:tr>
      <w:tr w:rsidR="00817C21" w:rsidRPr="006326E3" w14:paraId="6D3E7947" w14:textId="77777777" w:rsidTr="00817C21">
        <w:tc>
          <w:tcPr>
            <w:tcW w:w="9067" w:type="dxa"/>
          </w:tcPr>
          <w:p w14:paraId="00C0530B" w14:textId="07E46D81" w:rsidR="00817C21" w:rsidRPr="00817C21" w:rsidRDefault="00817C21" w:rsidP="00817C21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  <w:sz w:val="24"/>
                <w:szCs w:val="24"/>
              </w:rPr>
            </w:pPr>
            <w:r w:rsidRPr="00817C21">
              <w:rPr>
                <w:rFonts w:ascii="Calibri" w:hAnsi="Calibri" w:cs="Calibri"/>
                <w:sz w:val="24"/>
                <w:szCs w:val="24"/>
              </w:rPr>
              <w:t>Transfer of Undertakings (Protection of Employment) Regulations 2006</w:t>
            </w:r>
          </w:p>
        </w:tc>
      </w:tr>
      <w:tr w:rsidR="00817C21" w:rsidRPr="006326E3" w14:paraId="1DA016EA" w14:textId="77777777" w:rsidTr="00817C21">
        <w:tc>
          <w:tcPr>
            <w:tcW w:w="9067" w:type="dxa"/>
          </w:tcPr>
          <w:p w14:paraId="10BF800C" w14:textId="77777777" w:rsidR="00817C21" w:rsidRPr="00817C21" w:rsidRDefault="00817C21" w:rsidP="00817C21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  <w:sz w:val="24"/>
                <w:szCs w:val="24"/>
              </w:rPr>
            </w:pPr>
            <w:r w:rsidRPr="00817C21">
              <w:rPr>
                <w:rFonts w:ascii="Calibri" w:hAnsi="Calibri" w:cs="Calibri"/>
                <w:sz w:val="24"/>
                <w:szCs w:val="24"/>
              </w:rPr>
              <w:t>Rights in work – contractual; terms, variations, breaches</w:t>
            </w:r>
          </w:p>
        </w:tc>
      </w:tr>
      <w:tr w:rsidR="00817C21" w:rsidRPr="006326E3" w14:paraId="73B6D038" w14:textId="77777777" w:rsidTr="00817C21">
        <w:tc>
          <w:tcPr>
            <w:tcW w:w="9067" w:type="dxa"/>
          </w:tcPr>
          <w:p w14:paraId="219BDE95" w14:textId="5F6387ED" w:rsidR="00817C21" w:rsidRPr="00817C21" w:rsidRDefault="00817C21" w:rsidP="00817C21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  <w:sz w:val="24"/>
                <w:szCs w:val="24"/>
              </w:rPr>
            </w:pPr>
            <w:r w:rsidRPr="00817C21">
              <w:rPr>
                <w:rFonts w:ascii="Calibri" w:hAnsi="Calibri" w:cs="Calibri"/>
                <w:sz w:val="24"/>
                <w:szCs w:val="24"/>
              </w:rPr>
              <w:t>Rights in work – statutory Maternity rights, or Paternity rights, or Adoption rights, or the right to parental leave</w:t>
            </w:r>
          </w:p>
        </w:tc>
      </w:tr>
      <w:tr w:rsidR="00817C21" w:rsidRPr="006326E3" w14:paraId="1F266410" w14:textId="77777777" w:rsidTr="00817C21">
        <w:tc>
          <w:tcPr>
            <w:tcW w:w="9067" w:type="dxa"/>
          </w:tcPr>
          <w:p w14:paraId="475EE93B" w14:textId="61499845" w:rsidR="00817C21" w:rsidRPr="00817C21" w:rsidRDefault="00817C21" w:rsidP="00817C21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  <w:sz w:val="24"/>
                <w:szCs w:val="24"/>
              </w:rPr>
            </w:pPr>
            <w:r w:rsidRPr="00817C21">
              <w:rPr>
                <w:rFonts w:ascii="Calibri" w:hAnsi="Calibri" w:cs="Calibri"/>
                <w:sz w:val="24"/>
                <w:szCs w:val="24"/>
              </w:rPr>
              <w:t>Rights in work; deductions in wages, trade unions, sick pay, Rights to particulars of employment, health and safety, Jurisdictional queries for specific professions (</w:t>
            </w:r>
            <w:proofErr w:type="gramStart"/>
            <w:r w:rsidRPr="00817C21">
              <w:rPr>
                <w:rFonts w:ascii="Calibri" w:hAnsi="Calibri" w:cs="Calibri"/>
                <w:sz w:val="24"/>
                <w:szCs w:val="24"/>
              </w:rPr>
              <w:t>e.g.</w:t>
            </w:r>
            <w:proofErr w:type="gramEnd"/>
            <w:r w:rsidRPr="00817C21">
              <w:rPr>
                <w:rFonts w:ascii="Calibri" w:hAnsi="Calibri" w:cs="Calibri"/>
                <w:sz w:val="24"/>
                <w:szCs w:val="24"/>
              </w:rPr>
              <w:t xml:space="preserve"> police, armed forces, universities), national minimum wage </w:t>
            </w:r>
          </w:p>
        </w:tc>
      </w:tr>
      <w:tr w:rsidR="00817C21" w:rsidRPr="00DD502F" w14:paraId="27DF4047" w14:textId="77777777" w:rsidTr="00817C21">
        <w:trPr>
          <w:trHeight w:val="50"/>
        </w:trPr>
        <w:tc>
          <w:tcPr>
            <w:tcW w:w="9067" w:type="dxa"/>
          </w:tcPr>
          <w:p w14:paraId="1ED9754F" w14:textId="77777777" w:rsidR="00817C21" w:rsidRPr="00817C21" w:rsidRDefault="00817C21" w:rsidP="00817C21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  <w:sz w:val="24"/>
                <w:szCs w:val="24"/>
              </w:rPr>
            </w:pPr>
            <w:r w:rsidRPr="00817C21">
              <w:rPr>
                <w:rFonts w:ascii="Calibri" w:hAnsi="Calibri" w:cs="Calibri"/>
                <w:sz w:val="24"/>
                <w:szCs w:val="24"/>
              </w:rPr>
              <w:t>Employment Tribunal Fee Remission Tribunals</w:t>
            </w:r>
          </w:p>
          <w:p w14:paraId="177613B8" w14:textId="77777777" w:rsidR="00817C21" w:rsidRPr="00817C21" w:rsidRDefault="00817C21" w:rsidP="00F05F9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0169DFEF" w14:textId="77777777" w:rsidR="00817C21" w:rsidRDefault="00817C21"/>
    <w:sectPr w:rsidR="00817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F3B21"/>
    <w:multiLevelType w:val="hybridMultilevel"/>
    <w:tmpl w:val="BC5EF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0E0953"/>
    <w:multiLevelType w:val="hybridMultilevel"/>
    <w:tmpl w:val="64A442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1F7DE8"/>
    <w:multiLevelType w:val="hybridMultilevel"/>
    <w:tmpl w:val="523C4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0659207">
    <w:abstractNumId w:val="0"/>
  </w:num>
  <w:num w:numId="2" w16cid:durableId="1179739720">
    <w:abstractNumId w:val="2"/>
  </w:num>
  <w:num w:numId="3" w16cid:durableId="6892645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C21"/>
    <w:rsid w:val="00170312"/>
    <w:rsid w:val="00817C21"/>
    <w:rsid w:val="00AB29D8"/>
    <w:rsid w:val="00D0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77388"/>
  <w15:chartTrackingRefBased/>
  <w15:docId w15:val="{DF52203D-39F8-4D4F-9FA8-E0C0AC032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C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17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7C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FEACB9C18E4E4596E05C8453BFC8C9" ma:contentTypeVersion="23" ma:contentTypeDescription="Create a new document." ma:contentTypeScope="" ma:versionID="7cbf48fce065ce9243babe675082cf87">
  <xsd:schema xmlns:xsd="http://www.w3.org/2001/XMLSchema" xmlns:xs="http://www.w3.org/2001/XMLSchema" xmlns:p="http://schemas.microsoft.com/office/2006/metadata/properties" xmlns:ns2="f6b14013-6159-4d09-a6a6-8a18a7a1bb7a" xmlns:ns3="e31f043f-7b16-4b95-8fea-5bfc8e1738da" targetNamespace="http://schemas.microsoft.com/office/2006/metadata/properties" ma:root="true" ma:fieldsID="b2874beb561ce26d25f66012b7658c47" ns2:_="" ns3:_="">
    <xsd:import namespace="f6b14013-6159-4d09-a6a6-8a18a7a1bb7a"/>
    <xsd:import namespace="e31f043f-7b16-4b95-8fea-5bfc8e1738da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14013-6159-4d09-a6a6-8a18a7a1bb7a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description="Document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description="Document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b0f39669-4377-4d4a-ac5e-d97083f918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f043f-7b16-4b95-8fea-5bfc8e1738da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8400e480-ae67-4246-83ea-5d0ce3e66d4c}" ma:internalName="TaxCatchAll" ma:showField="CatchAllData" ma:web="e31f043f-7b16-4b95-8fea-5bfc8e1738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SecurityGroups xmlns="f6b14013-6159-4d09-a6a6-8a18a7a1bb7a" xsi:nil="true"/>
    <lcf76f155ced4ddcb4097134ff3c332f xmlns="f6b14013-6159-4d09-a6a6-8a18a7a1bb7a">
      <Terms xmlns="http://schemas.microsoft.com/office/infopath/2007/PartnerControls"/>
    </lcf76f155ced4ddcb4097134ff3c332f>
    <MigrationWizIdPermissions xmlns="f6b14013-6159-4d09-a6a6-8a18a7a1bb7a" xsi:nil="true"/>
    <MigrationWizIdDocumentLibraryPermissions xmlns="f6b14013-6159-4d09-a6a6-8a18a7a1bb7a" xsi:nil="true"/>
    <MigrationWizIdPermissionLevels xmlns="f6b14013-6159-4d09-a6a6-8a18a7a1bb7a" xsi:nil="true"/>
    <MigrationWizId xmlns="f6b14013-6159-4d09-a6a6-8a18a7a1bb7a" xsi:nil="true"/>
    <TaxCatchAll xmlns="e31f043f-7b16-4b95-8fea-5bfc8e1738da" xsi:nil="true"/>
  </documentManagement>
</p:properties>
</file>

<file path=customXml/itemProps1.xml><?xml version="1.0" encoding="utf-8"?>
<ds:datastoreItem xmlns:ds="http://schemas.openxmlformats.org/officeDocument/2006/customXml" ds:itemID="{6D109341-6DBC-4D71-ABAD-1B4E2A641253}"/>
</file>

<file path=customXml/itemProps2.xml><?xml version="1.0" encoding="utf-8"?>
<ds:datastoreItem xmlns:ds="http://schemas.openxmlformats.org/officeDocument/2006/customXml" ds:itemID="{45A1077E-3CB6-421E-8DEA-44CFDD905CC6}"/>
</file>

<file path=customXml/itemProps3.xml><?xml version="1.0" encoding="utf-8"?>
<ds:datastoreItem xmlns:ds="http://schemas.openxmlformats.org/officeDocument/2006/customXml" ds:itemID="{88E5ED4C-5931-4309-899B-870F10C906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Morris</dc:creator>
  <cp:keywords/>
  <dc:description/>
  <cp:lastModifiedBy>Liz Morris</cp:lastModifiedBy>
  <cp:revision>2</cp:revision>
  <dcterms:created xsi:type="dcterms:W3CDTF">2023-02-16T12:32:00Z</dcterms:created>
  <dcterms:modified xsi:type="dcterms:W3CDTF">2023-02-16T12:32:00Z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0x01010038FEACB9C18E4E4596E05C8453BFC8C9</vt:lpwstr>
  </property>
</Properties>
</file>